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Tidal Shift</w:t>
      </w:r>
    </w:p>
    <w:p>
      <w:pPr>
        <w:spacing w:after="120"/>
        <w:jc w:val="center"/>
      </w:pPr>
      <w:r>
        <w:rPr>
          <w:sz w:val="26"/>
          <w:szCs w:val="26"/>
        </w:rPr>
        <w:t xml:space="preserve">Platform Terms of Use</w:t>
      </w:r>
    </w:p>
    <w:p>
      <w:pPr>
        <w:spacing w:after="60"/>
        <w:jc w:val="center"/>
      </w:pPr>
      <w:r>
        <w:rPr>
          <w:color w:val="555555"/>
          <w:sz w:val="20"/>
          <w:szCs w:val="20"/>
        </w:rPr>
        <w:t xml:space="preserve">Tidal Circular Pty Ltd (ABN 15 691 289 522), trading as Tidal Shift Coordination</w:t>
      </w:r>
    </w:p>
    <w:p>
      <w:pPr>
        <w:pBdr>
          <w:bottom w:val="single" w:color="CCCCCC" w:sz="6" w:space="12"/>
        </w:pBdr>
        <w:spacing w:after="480"/>
        <w:jc w:val="center"/>
      </w:pPr>
      <w:r>
        <w:rPr>
          <w:i/>
          <w:iCs/>
          <w:color w:val="555555"/>
          <w:sz w:val="20"/>
          <w:szCs w:val="20"/>
        </w:rPr>
        <w:t xml:space="preserve">Downloaded from tidalshift.com.au. The version published on the website is the version in force.</w:t>
      </w:r>
    </w:p>
    <w:p>
      <w:pPr>
        <w:pStyle w:val="Heading1"/>
        <w:spacing w:after="80"/>
      </w:pPr>
      <w:r>
        <w:t xml:space="preserve">Platform Terms of Use</w:t>
      </w:r>
    </w:p>
    <w:p>
      <w:pPr>
        <w:spacing w:after="320"/>
      </w:pPr>
      <w:r>
        <w:rPr>
          <w:color w:val="555555"/>
          <w:sz w:val="20"/>
          <w:szCs w:val="20"/>
        </w:rPr>
        <w:t xml:space="preserve">Version 2026-08-23   ·   Last updated 23 August 2026</w:t>
      </w:r>
    </w:p>
    <w:p>
      <w:pPr>
        <w:spacing w:after="200"/>
      </w:pPr>
      <w:r>
        <w:rPr>
          <w:sz w:val="22"/>
          <w:szCs w:val="22"/>
        </w:rPr>
        <w:t xml:space="preserve">These Terms of Use govern how every organisation and user may access and use the Tidal Shift platform, which is operated by Tidal Circular Pty Ltd (ABN 15 691 289 522), trading as Tidal Shift Coordination. In these terms, “Tidal Shift”, “we” and “us” mean Tidal Circular Pty Ltd. They are separate from the Standard Services Framework (which governs the physical service between participants) and the Platform Subscription Terms (which govern a paying customer's fee).</w:t>
      </w:r>
    </w:p>
    <w:p>
      <w:pPr>
        <w:spacing w:after="200"/>
      </w:pPr>
      <w:r>
        <w:rPr>
          <w:sz w:val="22"/>
          <w:szCs w:val="22"/>
        </w:rPr>
        <w:t xml:space="preserve">Tidal Shift provides neutral coordination, matching, tracking and record-keeping software. It is not a carrier, consignor, consignee, material owner, processor, payer, agent or guarantor, and it is not a party to any service contract formed between participants. The only payment Tidal Shift takes is its own subscription fee; all payments for freight, materials and processing settle directly between participants, off the platform.</w:t>
      </w:r>
    </w:p>
    <w:p>
      <w:pPr>
        <w:pStyle w:val="Heading2"/>
        <w:spacing w:after="140" w:before="320"/>
      </w:pPr>
      <w:r>
        <w:t xml:space="preserve">A. Acceptance &amp; scope</w:t>
      </w:r>
    </w:p>
    <w:p>
      <w:pPr>
        <w:spacing w:after="160"/>
      </w:pPr>
      <w:r>
        <w:rPr>
          <w:b/>
          <w:bCs/>
          <w:sz w:val="22"/>
          <w:szCs w:val="22"/>
        </w:rPr>
        <w:t xml:space="preserve">A1. Who these terms bind  </w:t>
      </w:r>
      <w:r>
        <w:rPr>
          <w:sz w:val="22"/>
          <w:szCs w:val="22"/>
        </w:rPr>
        <w:t xml:space="preserve">Every organisation and user that accesses the platform. You accept them when you first use the platform, and continued use is acceptance of the version in force.</w:t>
      </w:r>
    </w:p>
    <w:p>
      <w:pPr>
        <w:spacing w:after="160"/>
      </w:pPr>
      <w:r>
        <w:rPr>
          <w:b/>
          <w:bCs/>
          <w:sz w:val="22"/>
          <w:szCs w:val="22"/>
        </w:rPr>
        <w:t xml:space="preserve">A2. What they cover  </w:t>
      </w:r>
      <w:r>
        <w:rPr>
          <w:sz w:val="22"/>
          <w:szCs w:val="22"/>
        </w:rPr>
        <w:t xml:space="preserve">Use of the software itself — distinct from the Standard Services Framework and the Platform Subscription Terms.</w:t>
      </w:r>
    </w:p>
    <w:p>
      <w:pPr>
        <w:spacing w:after="160"/>
      </w:pPr>
      <w:r>
        <w:rPr>
          <w:b/>
          <w:bCs/>
          <w:sz w:val="22"/>
          <w:szCs w:val="22"/>
        </w:rPr>
        <w:t xml:space="preserve">A3. Authority  </w:t>
      </w:r>
      <w:r>
        <w:rPr>
          <w:sz w:val="22"/>
          <w:szCs w:val="22"/>
        </w:rPr>
        <w:t xml:space="preserve">If you accept on behalf of an organisation, you confirm you are authorised to bind it.</w:t>
      </w:r>
    </w:p>
    <w:p>
      <w:pPr>
        <w:spacing w:after="160"/>
      </w:pPr>
      <w:r>
        <w:rPr>
          <w:b/>
          <w:bCs/>
          <w:sz w:val="22"/>
          <w:szCs w:val="22"/>
        </w:rPr>
        <w:t xml:space="preserve">A4. Changes  </w:t>
      </w:r>
      <w:r>
        <w:rPr>
          <w:sz w:val="22"/>
          <w:szCs w:val="22"/>
        </w:rPr>
        <w:t xml:space="preserve">We may update these terms; the version in force governs. Material changes are notified and require re-acceptance, which we record.</w:t>
      </w:r>
    </w:p>
    <w:p>
      <w:pPr>
        <w:pStyle w:val="Heading2"/>
        <w:spacing w:after="140" w:before="320"/>
      </w:pPr>
      <w:r>
        <w:t xml:space="preserve">B. The platform's role</w:t>
      </w:r>
    </w:p>
    <w:p>
      <w:pPr>
        <w:spacing w:after="160"/>
      </w:pPr>
      <w:r>
        <w:rPr>
          <w:b/>
          <w:bCs/>
          <w:sz w:val="22"/>
          <w:szCs w:val="22"/>
        </w:rPr>
        <w:t xml:space="preserve">B1. Coordination &amp; records only  </w:t>
      </w:r>
      <w:r>
        <w:rPr>
          <w:sz w:val="22"/>
          <w:szCs w:val="22"/>
        </w:rPr>
        <w:t xml:space="preserve">We coordinate, match, track and record. We are not a carrier, consignor, consignee, material owner, processor, payer, agent or guarantor.</w:t>
      </w:r>
    </w:p>
    <w:p>
      <w:pPr>
        <w:spacing w:after="160"/>
      </w:pPr>
      <w:r>
        <w:rPr>
          <w:b/>
          <w:bCs/>
          <w:sz w:val="22"/>
          <w:szCs w:val="22"/>
        </w:rPr>
        <w:t xml:space="preserve">B2. Not a party to service contracts  </w:t>
      </w:r>
      <w:r>
        <w:rPr>
          <w:sz w:val="22"/>
          <w:szCs w:val="22"/>
        </w:rPr>
        <w:t xml:space="preserve">Service contracts form directly between participants under the Standard Services Framework. We record and timestamp the steps by which they form; we are not a party to them.</w:t>
      </w:r>
    </w:p>
    <w:p>
      <w:pPr>
        <w:spacing w:after="160"/>
      </w:pPr>
      <w:r>
        <w:rPr>
          <w:b/>
          <w:bCs/>
          <w:sz w:val="22"/>
          <w:szCs w:val="22"/>
        </w:rPr>
        <w:t xml:space="preserve">B3. No third-party funds  </w:t>
      </w:r>
      <w:r>
        <w:rPr>
          <w:sz w:val="22"/>
          <w:szCs w:val="22"/>
        </w:rPr>
        <w:t xml:space="preserve">We do not move, hold, collect or reconcile third-party money. Our only charge is our own subscription fee.</w:t>
      </w:r>
    </w:p>
    <w:p>
      <w:pPr>
        <w:pStyle w:val="Heading2"/>
        <w:spacing w:after="140" w:before="320"/>
      </w:pPr>
      <w:r>
        <w:t xml:space="preserve">C. Accounts &amp; security</w:t>
      </w:r>
    </w:p>
    <w:p>
      <w:pPr>
        <w:spacing w:after="160"/>
      </w:pPr>
      <w:r>
        <w:rPr>
          <w:b/>
          <w:bCs/>
          <w:sz w:val="22"/>
          <w:szCs w:val="22"/>
        </w:rPr>
        <w:t xml:space="preserve">C1. Accounts  </w:t>
      </w:r>
      <w:r>
        <w:rPr>
          <w:sz w:val="22"/>
          <w:szCs w:val="22"/>
        </w:rPr>
        <w:t xml:space="preserve">Accounts are created by invitation or provisioning. You must provide accurate information and use the platform for legitimate business purposes.</w:t>
      </w:r>
    </w:p>
    <w:p>
      <w:pPr>
        <w:spacing w:after="160"/>
      </w:pPr>
      <w:r>
        <w:rPr>
          <w:b/>
          <w:bCs/>
          <w:sz w:val="22"/>
          <w:szCs w:val="22"/>
        </w:rPr>
        <w:t xml:space="preserve">C2. Roles  </w:t>
      </w:r>
      <w:r>
        <w:rPr>
          <w:sz w:val="22"/>
          <w:szCs w:val="22"/>
        </w:rPr>
        <w:t xml:space="preserve">Organisation administrators manage their own users and are responsible for their users' actions on the platform.</w:t>
      </w:r>
    </w:p>
    <w:p>
      <w:pPr>
        <w:spacing w:after="160"/>
      </w:pPr>
      <w:r>
        <w:rPr>
          <w:b/>
          <w:bCs/>
          <w:sz w:val="22"/>
          <w:szCs w:val="22"/>
        </w:rPr>
        <w:t xml:space="preserve">C3. Security  </w:t>
      </w:r>
      <w:r>
        <w:rPr>
          <w:sz w:val="22"/>
          <w:szCs w:val="22"/>
        </w:rPr>
        <w:t xml:space="preserve">Keep your credentials confidential, use multi-factor authentication where required, and tell us promptly of any suspected compromise. You are responsible for activity under your account.</w:t>
      </w:r>
    </w:p>
    <w:p>
      <w:pPr>
        <w:spacing w:after="160"/>
      </w:pPr>
      <w:r>
        <w:rPr>
          <w:b/>
          <w:bCs/>
          <w:sz w:val="22"/>
          <w:szCs w:val="22"/>
        </w:rPr>
        <w:t xml:space="preserve">C4. No credential sharing  </w:t>
      </w:r>
      <w:r>
        <w:rPr>
          <w:sz w:val="22"/>
          <w:szCs w:val="22"/>
        </w:rPr>
        <w:t xml:space="preserve">Credentials and access must not be shared, resold or transferred.</w:t>
      </w:r>
    </w:p>
    <w:p>
      <w:pPr>
        <w:pStyle w:val="Heading2"/>
        <w:spacing w:after="140" w:before="320"/>
      </w:pPr>
      <w:r>
        <w:t xml:space="preserve">D. Acceptable use</w:t>
      </w:r>
    </w:p>
    <w:p>
      <w:pPr>
        <w:spacing w:after="160"/>
      </w:pPr>
      <w:r>
        <w:rPr>
          <w:b/>
          <w:bCs/>
          <w:sz w:val="22"/>
          <w:szCs w:val="22"/>
        </w:rPr>
        <w:t xml:space="preserve">D1. Permitted use  </w:t>
      </w:r>
      <w:r>
        <w:rPr>
          <w:sz w:val="22"/>
          <w:szCs w:val="22"/>
        </w:rPr>
        <w:t xml:space="preserve">Use the platform for your own legitimate logistics coordination purposes.</w:t>
      </w:r>
    </w:p>
    <w:p>
      <w:pPr>
        <w:spacing w:after="160"/>
      </w:pPr>
      <w:r>
        <w:rPr>
          <w:b/>
          <w:bCs/>
          <w:sz w:val="22"/>
          <w:szCs w:val="22"/>
        </w:rPr>
        <w:t xml:space="preserve">D2. Prohibited conduct  </w:t>
      </w:r>
      <w:r>
        <w:rPr>
          <w:sz w:val="22"/>
          <w:szCs w:val="22"/>
        </w:rPr>
        <w:t xml:space="preserve">No unlawful use, infringement, security probing, disruption, misrepresentation, or uploading of harmful or unauthorised content.</w:t>
      </w:r>
    </w:p>
    <w:p>
      <w:pPr>
        <w:spacing w:after="160"/>
      </w:pPr>
      <w:r>
        <w:rPr>
          <w:b/>
          <w:bCs/>
          <w:sz w:val="22"/>
          <w:szCs w:val="22"/>
        </w:rPr>
        <w:t xml:space="preserve">D3. No systematic extraction  </w:t>
      </w:r>
      <w:r>
        <w:rPr>
          <w:sz w:val="22"/>
          <w:szCs w:val="22"/>
        </w:rPr>
        <w:t xml:space="preserve">No scraping, crawling, bulk extraction beyond the export tools we provide, or automated harvesting of platform data.</w:t>
      </w:r>
    </w:p>
    <w:p>
      <w:pPr>
        <w:spacing w:after="160"/>
      </w:pPr>
      <w:r>
        <w:rPr>
          <w:b/>
          <w:bCs/>
          <w:sz w:val="22"/>
          <w:szCs w:val="22"/>
        </w:rPr>
        <w:t xml:space="preserve">D4. No competing use  </w:t>
      </w:r>
      <w:r>
        <w:rPr>
          <w:sz w:val="22"/>
          <w:szCs w:val="22"/>
        </w:rPr>
        <w:t xml:space="preserve">You may not use platform access or data to build, train or benchmark a competing service.</w:t>
      </w:r>
    </w:p>
    <w:p>
      <w:pPr>
        <w:spacing w:after="160"/>
      </w:pPr>
      <w:r>
        <w:rPr>
          <w:b/>
          <w:bCs/>
          <w:sz w:val="22"/>
          <w:szCs w:val="22"/>
        </w:rPr>
        <w:t xml:space="preserve">D5. Monitoring  </w:t>
      </w:r>
      <w:r>
        <w:rPr>
          <w:sz w:val="22"/>
          <w:szCs w:val="22"/>
        </w:rPr>
        <w:t xml:space="preserve">We may rate-limit, monitor and flag unusual or abusive access and enforce these terms.</w:t>
      </w:r>
    </w:p>
    <w:p>
      <w:pPr>
        <w:pStyle w:val="Heading2"/>
        <w:spacing w:after="140" w:before="320"/>
      </w:pPr>
      <w:r>
        <w:t xml:space="preserve">E. Content, data &amp; intellectual property</w:t>
      </w:r>
    </w:p>
    <w:p>
      <w:pPr>
        <w:spacing w:after="160"/>
      </w:pPr>
      <w:r>
        <w:rPr>
          <w:b/>
          <w:bCs/>
          <w:sz w:val="22"/>
          <w:szCs w:val="22"/>
        </w:rPr>
        <w:t xml:space="preserve">E1. Platform IP  </w:t>
      </w:r>
      <w:r>
        <w:rPr>
          <w:sz w:val="22"/>
          <w:szCs w:val="22"/>
        </w:rPr>
        <w:t xml:space="preserve">Tidal Shift owns the platform, software and brand. You receive a limited, revocable, non-transferable licence to use it while you have access.</w:t>
      </w:r>
    </w:p>
    <w:p>
      <w:pPr>
        <w:spacing w:after="160"/>
      </w:pPr>
      <w:r>
        <w:rPr>
          <w:b/>
          <w:bCs/>
          <w:sz w:val="22"/>
          <w:szCs w:val="22"/>
        </w:rPr>
        <w:t xml:space="preserve">E2. Your data  </w:t>
      </w:r>
      <w:r>
        <w:rPr>
          <w:sz w:val="22"/>
          <w:szCs w:val="22"/>
        </w:rPr>
        <w:t xml:space="preserve">Your organisation retains ownership of its operational data and content, and legal ownership of its physical materials.</w:t>
      </w:r>
    </w:p>
    <w:p>
      <w:pPr>
        <w:spacing w:after="160"/>
      </w:pPr>
      <w:r>
        <w:rPr>
          <w:b/>
          <w:bCs/>
          <w:sz w:val="22"/>
          <w:szCs w:val="22"/>
        </w:rPr>
        <w:t xml:space="preserve">E3. Licence to operate  </w:t>
      </w:r>
      <w:r>
        <w:rPr>
          <w:sz w:val="22"/>
          <w:szCs w:val="22"/>
        </w:rPr>
        <w:t xml:space="preserve">You grant us the rights needed to host, process, store and display your data to provide the service.</w:t>
      </w:r>
    </w:p>
    <w:p>
      <w:pPr>
        <w:spacing w:after="160"/>
      </w:pPr>
      <w:r>
        <w:rPr>
          <w:b/>
          <w:bCs/>
          <w:sz w:val="22"/>
          <w:szCs w:val="22"/>
        </w:rPr>
        <w:t xml:space="preserve">E4. Aggregated &amp; de-identified data  </w:t>
      </w:r>
      <w:r>
        <w:rPr>
          <w:sz w:val="22"/>
          <w:szCs w:val="22"/>
        </w:rPr>
        <w:t xml:space="preserve">We may use aggregated, de-identified data and derived metrics for benchmarking, public dashboards and product improvement. We do not publish identifiable organisation-level data without that organisation's consent.</w:t>
      </w:r>
    </w:p>
    <w:p>
      <w:pPr>
        <w:spacing w:after="160"/>
      </w:pPr>
      <w:r>
        <w:rPr>
          <w:b/>
          <w:bCs/>
          <w:sz w:val="22"/>
          <w:szCs w:val="22"/>
        </w:rPr>
        <w:t xml:space="preserve">E5. Feedback  </w:t>
      </w:r>
      <w:r>
        <w:rPr>
          <w:sz w:val="22"/>
          <w:szCs w:val="22"/>
        </w:rPr>
        <w:t xml:space="preserve">We may use feedback and suggestions freely.</w:t>
      </w:r>
    </w:p>
    <w:p>
      <w:pPr>
        <w:pStyle w:val="Heading2"/>
        <w:spacing w:after="140" w:before="320"/>
      </w:pPr>
      <w:r>
        <w:t xml:space="preserve">F. Confidentiality &amp; privacy</w:t>
      </w:r>
    </w:p>
    <w:p>
      <w:pPr>
        <w:spacing w:after="160"/>
      </w:pPr>
      <w:r>
        <w:rPr>
          <w:b/>
          <w:bCs/>
          <w:sz w:val="22"/>
          <w:szCs w:val="22"/>
        </w:rPr>
        <w:t xml:space="preserve">F1. Commercial confidentiality  </w:t>
      </w:r>
      <w:r>
        <w:rPr>
          <w:sz w:val="22"/>
          <w:szCs w:val="22"/>
        </w:rPr>
        <w:t xml:space="preserve">Participants do not see each other's rates, quotes or commercial terms. A quote is visible to the participant who requested it, the participant who gave it, and our platform administrators, who may access commercial information where needed to operate, support and troubleshoot the platform or where required by law. Where a scheme applies, the scheme owner may see cost and volume information for activity under that scheme.</w:t>
      </w:r>
    </w:p>
    <w:p>
      <w:pPr>
        <w:spacing w:after="160"/>
      </w:pPr>
      <w:r>
        <w:rPr>
          <w:b/>
          <w:bCs/>
          <w:sz w:val="22"/>
          <w:szCs w:val="22"/>
        </w:rPr>
        <w:t xml:space="preserve">F2. Identity and locations are not confidential  </w:t>
      </w:r>
      <w:r>
        <w:rPr>
          <w:sz w:val="22"/>
          <w:szCs w:val="22"/>
        </w:rPr>
        <w:t xml:space="preserve">So that carriers can assess, price and perform work, the organisation posting a load is identified to carriers able to see it, and collection, consolidation and delivery locations are shown — including to carriers invited to quote. Do not treat your organisation's identity or its site locations as confidential on the platform.</w:t>
      </w:r>
    </w:p>
    <w:p>
      <w:pPr>
        <w:spacing w:after="160"/>
      </w:pPr>
      <w:r>
        <w:rPr>
          <w:b/>
          <w:bCs/>
          <w:sz w:val="22"/>
          <w:szCs w:val="22"/>
        </w:rPr>
        <w:t xml:space="preserve">F3. Privacy  </w:t>
      </w:r>
      <w:r>
        <w:rPr>
          <w:sz w:val="22"/>
          <w:szCs w:val="22"/>
        </w:rPr>
        <w:t xml:space="preserve">We handle personal information in accordance with our Privacy Policy and the Privacy Act 1988 (Cth).</w:t>
      </w:r>
    </w:p>
    <w:p>
      <w:pPr>
        <w:pStyle w:val="Heading2"/>
        <w:spacing w:after="140" w:before="320"/>
      </w:pPr>
      <w:r>
        <w:t xml:space="preserve">G. Availability &amp; disclaimers</w:t>
      </w:r>
    </w:p>
    <w:p>
      <w:pPr>
        <w:spacing w:after="160"/>
      </w:pPr>
      <w:r>
        <w:rPr>
          <w:b/>
          <w:bCs/>
          <w:sz w:val="22"/>
          <w:szCs w:val="22"/>
        </w:rPr>
        <w:t xml:space="preserve">G1. Availability  </w:t>
      </w:r>
      <w:r>
        <w:rPr>
          <w:sz w:val="22"/>
          <w:szCs w:val="22"/>
        </w:rPr>
        <w:t xml:space="preserve">The platform is provided on an “as available” basis and may be subject to maintenance.</w:t>
      </w:r>
    </w:p>
    <w:p>
      <w:pPr>
        <w:spacing w:after="160"/>
      </w:pPr>
      <w:r>
        <w:rPr>
          <w:b/>
          <w:bCs/>
          <w:sz w:val="22"/>
          <w:szCs w:val="22"/>
        </w:rPr>
        <w:t xml:space="preserve">G2. Participant content  </w:t>
      </w:r>
      <w:r>
        <w:rPr>
          <w:sz w:val="22"/>
          <w:szCs w:val="22"/>
        </w:rPr>
        <w:t xml:space="preserve">We do not verify or guarantee the accuracy, quality, fitness or regulatory compliance of participant-provided content, loads, materials or services. Quality and compliance tools are reasonable-efforts support only.</w:t>
      </w:r>
    </w:p>
    <w:p>
      <w:pPr>
        <w:spacing w:after="160"/>
      </w:pPr>
      <w:r>
        <w:rPr>
          <w:b/>
          <w:bCs/>
          <w:sz w:val="22"/>
          <w:szCs w:val="22"/>
        </w:rPr>
        <w:t xml:space="preserve">G3. “As is”  </w:t>
      </w:r>
      <w:r>
        <w:rPr>
          <w:sz w:val="22"/>
          <w:szCs w:val="22"/>
        </w:rPr>
        <w:t xml:space="preserve">To the extent permitted by law, the platform is provided without warranties. Non-excludable rights under the Australian Consumer Law are preserved where they apply.</w:t>
      </w:r>
    </w:p>
    <w:p>
      <w:pPr>
        <w:pStyle w:val="Heading2"/>
        <w:spacing w:after="140" w:before="320"/>
      </w:pPr>
      <w:r>
        <w:t xml:space="preserve">H. Liability &amp; indemnity</w:t>
      </w:r>
    </w:p>
    <w:p>
      <w:pPr>
        <w:spacing w:after="160"/>
      </w:pPr>
      <w:r>
        <w:rPr>
          <w:b/>
          <w:bCs/>
          <w:sz w:val="22"/>
          <w:szCs w:val="22"/>
        </w:rPr>
        <w:t xml:space="preserve">H1. Limitation  </w:t>
      </w:r>
      <w:r>
        <w:rPr>
          <w:sz w:val="22"/>
          <w:szCs w:val="22"/>
        </w:rPr>
        <w:t xml:space="preserve">Our liability is limited and excludes indirect and consequential loss, to the extent permitted by law.</w:t>
      </w:r>
    </w:p>
    <w:p>
      <w:pPr>
        <w:spacing w:after="160"/>
      </w:pPr>
      <w:r>
        <w:rPr>
          <w:b/>
          <w:bCs/>
          <w:sz w:val="22"/>
          <w:szCs w:val="22"/>
        </w:rPr>
        <w:t xml:space="preserve">H2. Service-contract carve-out  </w:t>
      </w:r>
      <w:r>
        <w:rPr>
          <w:sz w:val="22"/>
          <w:szCs w:val="22"/>
        </w:rPr>
        <w:t xml:space="preserve">We are not liable for the acts, omissions or performance of participants under service contracts, or for the movement, handling or processing of materials.</w:t>
      </w:r>
    </w:p>
    <w:p>
      <w:pPr>
        <w:spacing w:after="160"/>
      </w:pPr>
      <w:r>
        <w:rPr>
          <w:b/>
          <w:bCs/>
          <w:sz w:val="22"/>
          <w:szCs w:val="22"/>
        </w:rPr>
        <w:t xml:space="preserve">H3. Indemnity  </w:t>
      </w:r>
      <w:r>
        <w:rPr>
          <w:sz w:val="22"/>
          <w:szCs w:val="22"/>
        </w:rPr>
        <w:t xml:space="preserve">You indemnify us for misuse, breach of these terms, or infringing or unlawful content.</w:t>
      </w:r>
    </w:p>
    <w:p>
      <w:pPr>
        <w:pStyle w:val="Heading2"/>
        <w:spacing w:after="140" w:before="320"/>
      </w:pPr>
      <w:r>
        <w:t xml:space="preserve">I. Suspension &amp; termination</w:t>
      </w:r>
    </w:p>
    <w:p>
      <w:pPr>
        <w:spacing w:after="160"/>
      </w:pPr>
      <w:r>
        <w:rPr>
          <w:b/>
          <w:bCs/>
          <w:sz w:val="22"/>
          <w:szCs w:val="22"/>
        </w:rPr>
        <w:t xml:space="preserve">I1. Suspension  </w:t>
      </w:r>
      <w:r>
        <w:rPr>
          <w:sz w:val="22"/>
          <w:szCs w:val="22"/>
        </w:rPr>
        <w:t xml:space="preserve">We may suspend access for breach, security risk, unlawful use, repeated or serious breach of the Standard Services Framework, or (for paying customers) subscription non-payment. We may report unlawful conduct to the relevant authorities.</w:t>
      </w:r>
    </w:p>
    <w:p>
      <w:pPr>
        <w:spacing w:after="160"/>
      </w:pPr>
      <w:r>
        <w:rPr>
          <w:b/>
          <w:bCs/>
          <w:sz w:val="22"/>
          <w:szCs w:val="22"/>
        </w:rPr>
        <w:t xml:space="preserve">I2. Effect on service contracts  </w:t>
      </w:r>
      <w:r>
        <w:rPr>
          <w:sz w:val="22"/>
          <w:szCs w:val="22"/>
        </w:rPr>
        <w:t xml:space="preserve">Loss of platform access does not, by itself, terminate service contracts already formed between participants.</w:t>
      </w:r>
    </w:p>
    <w:p>
      <w:pPr>
        <w:spacing w:after="160"/>
      </w:pPr>
      <w:r>
        <w:rPr>
          <w:b/>
          <w:bCs/>
          <w:sz w:val="22"/>
          <w:szCs w:val="22"/>
        </w:rPr>
        <w:t xml:space="preserve">I3. Survival  </w:t>
      </w:r>
      <w:r>
        <w:rPr>
          <w:sz w:val="22"/>
          <w:szCs w:val="22"/>
        </w:rPr>
        <w:t xml:space="preserve">Provisions on intellectual property, confidentiality, liability and indemnity survive termination.</w:t>
      </w:r>
    </w:p>
    <w:p>
      <w:pPr>
        <w:pStyle w:val="Heading2"/>
        <w:spacing w:after="140" w:before="320"/>
      </w:pPr>
      <w:r>
        <w:t xml:space="preserve">J. General</w:t>
      </w:r>
    </w:p>
    <w:p>
      <w:pPr>
        <w:spacing w:after="160"/>
      </w:pPr>
      <w:r>
        <w:rPr>
          <w:b/>
          <w:bCs/>
          <w:sz w:val="22"/>
          <w:szCs w:val="22"/>
        </w:rPr>
        <w:t xml:space="preserve">J1. Relationship  </w:t>
      </w:r>
      <w:r>
        <w:rPr>
          <w:sz w:val="22"/>
          <w:szCs w:val="22"/>
        </w:rPr>
        <w:t xml:space="preserve">The parties are independent; we are not your agent or principal.</w:t>
      </w:r>
    </w:p>
    <w:p>
      <w:pPr>
        <w:spacing w:after="160"/>
      </w:pPr>
      <w:r>
        <w:rPr>
          <w:b/>
          <w:bCs/>
          <w:sz w:val="22"/>
          <w:szCs w:val="22"/>
        </w:rPr>
        <w:t xml:space="preserve">J2. General provisions  </w:t>
      </w:r>
      <w:r>
        <w:rPr>
          <w:sz w:val="22"/>
          <w:szCs w:val="22"/>
        </w:rPr>
        <w:t xml:space="preserve">Assignment, notices, entire agreement, severance, waiver and force majeure apply on standard terms.</w:t>
      </w:r>
    </w:p>
    <w:p>
      <w:pPr>
        <w:spacing w:after="160"/>
      </w:pPr>
      <w:r>
        <w:rPr>
          <w:b/>
          <w:bCs/>
          <w:sz w:val="22"/>
          <w:szCs w:val="22"/>
        </w:rPr>
        <w:t xml:space="preserve">J3. Governing law  </w:t>
      </w:r>
      <w:r>
        <w:rPr>
          <w:sz w:val="22"/>
          <w:szCs w:val="22"/>
        </w:rPr>
        <w:t xml:space="preserve">These terms are governed by the laws of the Northern Territory of Australia, and the parties submit to the non-exclusive jurisdiction of its courts.</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Tidal Shift — Platform Terms of Use</dc:title>
  <dc:creator>Tidal Circular Pty Ltd</dc:creator>
  <dc:description>Platform Terms of Use 2026-08-23</dc:description>
  <cp:lastModifiedBy>Un-named</cp:lastModifiedBy>
  <cp:revision>1</cp:revision>
  <dcterms:created xsi:type="dcterms:W3CDTF">2026-08-25T18:40:47.299Z</dcterms:created>
  <dcterms:modified xsi:type="dcterms:W3CDTF">2026-08-25T18:40:47.299Z</dcterms:modified>
</cp:coreProperties>
</file>

<file path=docProps/custom.xml><?xml version="1.0" encoding="utf-8"?>
<Properties xmlns="http://schemas.openxmlformats.org/officeDocument/2006/custom-properties" xmlns:vt="http://schemas.openxmlformats.org/officeDocument/2006/docPropsVTypes"/>
</file>